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02.02.2021, оставленным без изменения постановлением Тринадцатого арбитражного апелляционного суда от 02.06.2021 2 и постановлением Арбитражного суда Северо-Западного округа от 13.10.2021,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компанией (арендодатель) в рамках спорного договора имущества обществу (арендатор) и отсутствие доказательств внесения последним арендной платы за пользование имуществом в полном объеме, как и доказательств возврата им этого имущества арендодателю, руководствуясь статьями 309, 310, 330, 421, 422, 606, 614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«Инфраструктура»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