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14.04.2021, оставленным без изменения постановлением Восемнадцатого арбитражного апелляционного суда от 07.07.2021 и постановлением Арбитражного суда Уральского округа от 19.10.2021, исковые требования удовлетворены.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по делу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в пользу общества денежных средств в заявленном размере, отсутствие доказательств встречного предоставления со стороны последнего на спорную сумму либо ее возврата компании, а также доказательств наличия между сторонами договорных отношений, руководствуясь статьями 453 , 458 , 486 , 487 , 516 , 1102 , 1103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«Лидерс»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"УралПрофиль" (подробнее) Ответчики: ООО "Лидерс"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