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Чувашской Республики - Чувашии от 11.03.2021, оставленным без изменения постановлением Первого арбитражного апелляционного суда от 31.05.2021, в удовлетворении требований отказано. Постановлением Арбитражного суда Волго-Вятского округа от 09.11.2021 указанные судебные акты оставлены без изменения. В кассационной жалобе общество просит принятые по делу судебные акты отменить, считая их незаконными и необоснованными.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Статьей 7.1 Кодекса Российской Федерации об административных правонарушениях предусмотрена административная ответственность за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3 Оценив представленные доказательства и установив, что общество самовольно заняло часть земельного участка с кадастровым номером 21:01:020703:231, отгороженную металлическим ограждением и шлагбаумом и используемую под автостоянку за пределами границ предоставленного земельного участка, руководствуясь положениями статей 25, 26 Земельного кодекса Российской Федерации, суды пришли к выводу о наличии в действиях общества состава правонарушения, предусмотренного статьей 7.1 Кодекса Российской Федерации об административных правонарушениях. Доказательств невозможности соблюдения требований законодательства в силу чрезвычайных событий и обстоятельств, которые общество не могло предвидеть и предотвратить при соблюдении той степени заботливости и осмотрительности, которая от него требовалась, не установлено. Процедура и срок давности привлечения к ответственности соблюдены. Оснований для признания правонарушения малозначительным не установлено. При этом дело рассмотрено судом округа по правилам статьи 288.2 Арбитражного процессуального кодекса Российской Федерации в соответствии с разъяснениями, изложенными в пунктах 44, 45 постановления Пленума Верховного Суда Российской Федерации от 30.06.2020 № 13 «О применении Арбитражного процессуального кодекса Российской Федерации при рассмотрении дел в арбитражном суде кассационной инстанции», Обзоре судебной практики Верховного Суда Российской Федерации № 1 (2021), утвержденном Президиумом Верховного Суда Российской Федерации 07.04.2021 (в ответе на вопрос 3 разъяснений по вопросам применения судебной практики). Наличия в материалах дела доказательств волеизъявления собственника земельного участка (иного управомоченного им лица), направленного на предоставление спорной части земельного участка используемым обществом способом, судами не установлено. Указанные выводы судов в жалобе не опровергнуты. 4 Приведенные в жалобе доводы, идентичные изложенным в обоснование позиции заявителя при рассмотрении дела, подробно исследованы судами и им дана соответствующая правовая оценка.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Исходя из изложенного,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