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10.06.2021, оставленным без изменения постановлением Седьмого арбитражного 2 апелляционного суда от 18.08.2021, в удовлетворении требований отказано, изъятый товар направлен на уничтожение. Постановлением Арбитражного суда Западно-Сибирского округа от 28.10.2021 указанные судебные акты оставлены без изменения. Журавлев О.А. в кассационной жалобе просит отменить принятые по делу судебные акты в части направления на уничтожение тары, считая их незаконными и необоснованными в указанной части.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отказали в удовлетворении требования, поскольку истек срок давности привлечения к ответственности, направив изъятую из незаконного оборота алкогольную продукцию вместе с тарой на уничтожение, при этом признав недоказанным принадлежность тары Журавлеву О.А. Доводы жалобы были предметом исследования судов и получили исчерпывающую правовую оценку применительно к установленным обстоятельствам, связанным с отсутствием в материалах дела доказательств принадлежности спорной тары третьему лицу лицам, не согласиться с которой оснований по доводам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