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25.03.2021 в качестве соответчика к участию в деле привлечен Комитет финансов Волгоградской области. До рассмотрения спора по существу истец уточнил исковые требования в порядке статьи 49 Арбитражного процессуального кодекса Российской Федерации, в котором просил взыскать с Волгоградской области в лице комитета за счет средств казны Волгоградской области денежную сумму в размере 170 000 рублей, составляющую убытки в виде расходов на юридическую помощь в связи с необоснованным привлечением к административной ответственности, денежную сумму в размере 6 100 рублей в счет оплаты расходов на государственную пошлину, денежную сумму в размере 60 000 рублей в счет оплаты расходов на составление настоящего искового заявления и оплаты услуг адвоката. Решением Арбитражного суда города Волгоградской области от 12.05.2021, оставленным без изменения постановлением Девятнадцатого арбитражного апелляционного суда от 19.07.2021, иск удовлетворен частично, с Волгоградской области в лице комитета за счет средств казны Волгоградской области в пользу общества взысканы убытки в сумме 45 000 рублей, расходы по оплате государственной пошлины в сумме 1 615 рублей, расходы по оплате юридических услуг 6 617 рублей 50 копеек. В удовлетворении остальной части исковых требований о взыскании расходов по оплате услуг представителя отказано. Арбитражный суд Поволжского округа постановлением от 11.11.2021 судебные акты судов первой и апелляционной инстанции оставил без изменения. В жалобе общество просит отменить принятые по делу судебные акты, ссылаются на нарушение судами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3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16, 1069, 1071 Гражданского кодекса Российской Федерации, статьей 6, 158 Бюджетного кодекса Российской Федерации, принимая во внимание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от 21.01.2016 № 1 «О некоторых вопросах применения законодательства о возмещении издержек, связанных с рассмотрением дела», суды с учетом представленных доказательств пришли к выводу о наличии оснований для частичного взыскания убытков, определив расходы на оплату услуг представителя в разумных пределах. Приведенные в жалобах доводы сводятся к изложению обстоятельств дела, которые получили надлежащую правовую оценку судов и мотивированно отклонены, не опровергают выводы судов, не подтверждают существенных нарушений судами норм материального и (или) процессуального права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4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