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20.02.2021, оставленным без изменения постановлением 2 Тринадцатого арбитражного апелляционного суда от 02.06.2021 и постановлением Арбитражного суда Северо-Западного округа от 06.10.2021, с предпринимателя в пользу общества взыскано 17 320 300 руб. неосновательного обогащения, 983 736 руб. 06 коп. процентов за пользование чужими денежными средствами по состоянию на 03.09.2020 с их последующим начислением на сумму неосвоенного аванса по ставке рефинансирования Центрального Банка Российской Федерации с 04.09.2020 по день ее уплаты, в удовлетворении остальной части первоначальных требований и в удовлетворении встречного иска отказано. В кассационной жалобе, поданной в Верховный Суд Российской Федерации, предприниматель,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суды первой и апелляционной инстанций установили, что общество (заказчик) в рамках спорного договора перечислило предпринимателю (исполнитель) денежные средства в заявленном размере. Принимая во внимание вступившее в законную силу постановление Тринадцатого арбитражного апелляционного суда от 12.09.2019 по делу № А56-101815/2018, которым предпринимателю отказано во включении его требований по спорному договору в реестр требований кредиторов общества по мотиву мнимого характера данного договора, заключенного обществом с предпринимателем как аффилированным лицом, суды признали, что на стороне предпринимателя имеется неосновательное обогащение, возникшее в связи с получением им платежей по недействительному (ничтожному) договору. При таких обстоятельствах, отметив, что доказательства освоения предпринимателем спорных денежных средств либо их возврата обществу отсутствуют, руководствуясь статьями 167, 170, 1102, 1103 Гражданского кодекса Российской Федерации, суды пришли к выводу о наличии оснований для частичного удовлетворения первоначальных исковых требований (с учетом корректировки расчета процентов) и отказа в удовлетворении встречного иска. Суд округа поддержал выводы судов первой и апелляционной инстанций. 3 Доводы кассационной жалобы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Пархоменко Дмитрия Николаевича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