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10.02.2021, оставленным без изменения постановлением Седьмого арбитражного апелляционного суда от 28.04.2021 и постановлением Арбитражного суда Западно-Сибирского округа от 06.10.2021,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предпринимателя (покупатель) мотивированы тем, что им в рамках договора от 06.06.2017 № 10/2017 в пользу общества (поставщик) была перечислена предварительная оплата товара, поставка которого последним не осуществлена.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обществом предпринимателю предусмотренного договором товара и его принятия последним без каких-либо замечаний, руководствуясь статьями 454, 546, 464, 469, 475, 1102, 1105 Гражданского кодекса Российской Федерации, суды первой и апелляционной инстанций пришли к выводу об отсутствии на стороне ответчика неосновательного обогащения, в связи с чем отказали в удовлетворении исковых требований.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главы крестьянского (фермерского) хозяйства индивидуального предпринимателя Стакановского Дмитрия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