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10.03.2021 с общества в пользу компании взыскано 7 061 290 руб. 32 коп. задолженности, 88 579 руб. 43 коп. процентов за период с 04.07.2020 по 11.01.2021 и далее по день фактической уплаты суммы долга, в удовлетворении остальной части исковых требований отказано. 2 Первый арбитражный апелляционный суд постановлением от 30.06.2021 принял отказ компании от требований в части взыскания 23 544 руб. 48 коп. процентов и процентов за период с 12.01.2021 по 13.01.2021, отменил решение суда первой инстанции в указанной части и прекратил производство по делу в этой части; в остальной части оставил решение суда без изменения. Постановлением Арбитражного суда Волго-Вятского округа от 07.10.2021 решение суда первой инстанции и постановление суда апелляционной инстанции оставлены без изменения. В кассационной жалобе, поданной в Верховный Суд Российской Федерации, общество, ссылаясь на незаконность указанных судебных актов, просит их отменить и направить дело на новое рассмотрение в Арбитражный суд Нижегородской области либо принять новый судебный акт об отказе в удовлетворении исковых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передачи истцом в рамках спорного договора недвижимого имущества ответчику и неисполнения им обязанности по внесению арендных платежей в заявленный период, руководствуясь статьями 309, 310, 395, 606, 610, 614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Приведенные в кассационной жалобе доводы повторяют позицию заявителя по спору, являлись предметом рассмотрения судов и получили правовую оценку. Доводы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3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«ТехПро Сервисный Центр»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