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13.11.2020, оставленным без изменения постановлением Девятого арбитражного апелляционного суда от 16.06.2021, в удовлетворении исковых требований отказано. Арбитражный суд Московского округа постановлением от 04.10.2021 оставил без изменения указанные судебные акты. Общество обратилось в Верховный Суд Российской Федерации с кассационной жалобой, в которой просит отменить принятые судебные акты судов, ссылаясь на их незаконность и необоснованность.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усматривается из судебных актов, основанием для обращения общества с настоящим иском, послужил отказ страховой компании в оплате медицинских услуг, фактически оказанных истцом лицам, застрахованным по обязательному медицинскому страхованию страховой организацией, но оказанных сверх распределенного объема предоставления медицинской помощи, установленного решением комиссии по разработке территориальной программы. 3 Исследовав и оценив представленные в материалы дела доказательства в их совокупности и взаимосвязи, руководствуясь положениями статей Гражданского кодекса Российской Федерации,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граждан», суды пришли к выводу об отсутствии у общества правовых оснований для истребования у страховой компании спорной суммы.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 и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2916 Арбитражного процессуального кодекса Российской Федерации не может являться основанием для отмены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