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21.06.2021, оставленным без изменения постановлением Девятого арбитражного апелляционного суда от 21.06.2021 и постановлением Арбитражного суда Московского округа от 06.10.2021, в удовлетворении исковых требований отказано. В кассационной жалобе, поданной в Верховный Суд Российской Федерации, предприниматель, ссылаясь на нарушение судами норм материального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от 09.09.2016 № НТО-01-005710 на осуществление торговой деятельности в нестационарном торговом объекте (далее – НТО), не установив уклонение департамента от передачи НТО в пользование предпринимателя, принимая во внимание, что предприниматель в одностороннем порядке отказался от исполнения договора, по условиям которого внесенный последним обеспечительный платеж возврату не подлежит, руководствуясь статьями 381, 381.1, 421, 431, 450, 452, 1102 Гражданского кодекса Российской Федерации, суды первой и апелляционной инстанций пришли к выводу об отсутствии оснований для удовлетворения исковых требований.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индивидуального предпринимателя Маркаряна Жирайра Арпиаровича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