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08.04.2021, оставленным без изменения постановлением Девятого арбитражного апелляционного суда от 23.06.2021 и постановлением Арбитражного суда Московского округа от20.09.2021, с общества в пользу банка взыскано 1 380 000 руб. штрафа, в удовлетворении остальной части исковых требований отказано. В кассационной жалобе и дополнении к ней, поданных в Верховный Суд Российской Федерации, банк, ссылаясь на нарушение судами норм материального и процессуального права, неполное исследование обстоятельств дела,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истребованного дела и доводов заявителя не установлено. Как установлено судами и следует из материалов дела, банк (заказчик) и общество (подрядчик) 20.12.2018 заключен договор строительного подряда № ХОЗ-01-2018/2325 в редакции дополнительных соглашений (далее – договор), по условиям которого подрядчик обязался выполнить работы, а заказчик их принять и оплатить. Банк, ссылаясь на нарушение обществом сроков завершения работ, этапов работ, ввода в эксплуатацию центрального теплового пункта и невыполнение им требований предписаний строительного контроля, за что условиями договора предусмотрена ответственность, обратился в арбитражный суд с настоящими исковыми требованиями.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на момент заключения сторонами договора заказчик не передал подрядчику рабочую (проектную) документацию с отметкой «в производство работ»; в ходе выполнения работ по договору в рамках переданной рабочей (проектной) документации заказчик неоднократно вносил изменения, в результате которых изменялись сроки, объемы и состав работ по договору; подрядчик неоднократно письмами в предусмотренном порядке уведомлял заказчика об обстоятельствах, связанных с недостатками и неполнотой представленной документации, а также о необходимости согласования сводного сметного расчета и невозможности выполнения работ до устранения этих обстоятельств; заказчик согласовал и передал подрядчику сводный сметный расчет с просрочкой и позже даты завершения всех работ по договору, что привело к невозможности своевременного завершения подрядчиком этапов работ, а в соответствии с условиями договора - является основанием для продления срока выполнения работ; в нарушение условий договора заказчик не передал подрядчику согласованную с ПАО «МОЭК» рабочую (проектную) документацию, в отсутствие которой подрядчик был лишен возможности выполнить ввод в эксплуатацию центрального теплового пункта, суды первой и апелляционной инстанций заключили, что заказчик не обеспечил предоставление подрядчику надлежащей документации, что по объективным причинам повлекло невозможность исполнения последним принятых на себя обязательств по договору в установленные сроки. При таких обстоятельствах суды пришли к выводу о наличии в данном случае просрочки кредитора, повлекшей за собой нарушение сроков завершения работ, этапов работ и ввода в эксплуатацию центрального теплового пункта, вследствие чего подрядчик не может считаться просрочившим, поскольку не исполнил принятые на себя обязательства 3 по договору по вине заказчика, который не совершил действий, вытекающих из договора, до совершения которых подрядчик (должник) не мог исполнить свои обязательства. Таким образом, отказывая в удовлетворении исковых требований о взыскании с подрядчика неустойки за перечисленные нарушения, суды исходили из совокупности установленных по делу обстоятельств и отсутствия доказательств, опровергающих названные обстоятельства и свидетельствующих об ином. Признав подтвержденным факт невыполнения подрядчиком требований предписаний строительного контроля, суды пришли к выводу о правомерности начисления заказчиком штрафа. Принимая во внимание заявление подрядчика о применении положений статьи 333 Гражданского кодекса Российской Федерации, установив, что предъявленный ко взысканию штраф несоразмерен последствиям нарушения обязательства, суды сочли возможным снизить его размер до 1 380 000 руб. Исходя из указанных обстоятельств, руководствуясь статьями 309, 310, 330, 333, 401, 405, 406, 702, 708 Гражданского кодекса Российской Федерации, разъяснениями, изложенными в постановлении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суды пришли к выводу о наличии оснований для частичного удовлетворения исковых требований. Суд округа поддержал выводы судов первой и апелляционной инстанций. Доводы заявителя, в том числе со ссылкой на судебные акты по другим арбитражным делам, были предметом рассмотрения судов и получили правовую оценку.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Банк «Финансовая Корпорация Открытие»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