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29.03.2021, оставленным без изменения постановлением Девятого арбитражного апелляционного суда от 02.07.2021 и постановлением Арбитражного суда Московского округа от 06.10.2021, в удовлетворении исковых требований отказано. В кассационной жалобе, поданной в Верховный Суд Российской Федерации, предприниматель, ссылаясь на нарушение судами норм материального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от 16.12.2016 на осуществление торговой деятельности (оказания услуг) в нестационарном торговом объекте (далее – НТО), не установив уклонение департамента от передачи НТО в пользование предпринимателя, принимая во внимание, что предприниматель в одностороннем порядке отказался от исполнения договора, по условиям которого внесенный последним обеспечительный платеж возврату не подлежит, руководствуясь статьями 309, 310, 329, 381, 381.1, 421, 431, 450 Гражданского кодекса Российской Федерации, суды первой и апелляционной инстанций пришли к выводу об отсутствии оснований для удовлетворения исковых требований.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индивидуального предпринимателя Маркаряна Жирайра Арпиаровича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