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16.04.2021 процедура реализации имущества Шалдаевой Светланы Николаевны завершена, должник освобождена от дальнейшего исполнения требований кредиторов, в том числе требований кредиторов, не заявленных в ходе реализации имущества гражданина. Постановлением Девятого арбитражного апелляционного суда от 20.07.2021 определение суда первой инстанции оставлено без изменения. Арбитражный суд Московского округа постановлением от 19.10.2021 указанные судебные акты оставил без изменения. Финансовый управляющий имуществом Ванесяна В.Г. – Федосеев Сергей Викторович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 принятии судебных актов суды руководствовались положениями статьи 213.28 Федерального закона от 26.10.2002 № 127-ФЗ «О несостоятельности (банкротстве)», пунктами 45,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того, что финансовым управляющим осуществлены все мероприятия по формированию конкурсной массы, какое-либо имущество должника не обнаружено, в связи с чем требования кредиторов не погашались, в действиях должника отсутствует недобросовестное и противоправное поведение, направленное на умышленное уклонение от исполнения обязательств перед кредиторами, а также отсутствуют обстоятельства, препятствующие применению в отношении должника правил об освобождении от дальнейшего исполнения требований кредиторов.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Ванесяна В.Г. – Федосееву Сергею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