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«А-Илса» (далее – Общество)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индивидуальным предпринимателям (далее – ИП) Клименко Любови Ивановне, Парамоновой Марине Юрьевне о взыскании 1 968 156 рублей 58 копеек задолженности и 197 623 рублей 18 копеек процентов за пользование чужими денежными средствами, начисленных за период с 16.04.2017 по 23.03.2020, с продолжением взыскания процентов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привлечена Раскостова Галина Ивановна. Решением Арбитражного суда Свердловской области от 15.03.2021, оставленным без изменения постановлением Семнадцатого арбитражного 2 апелляционного суда от 21.06.2021 и постановлением Арбитражного суда Уральского округа от 07.10.2021,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не исследован вопрос о пропуске ответчиками срока давности по требованиям, которые направлены в зачет требованиям истца. Суды, нарушив принцип состязательности сторон, признали наличие задолженности истца и третьего лица перед ответчиками. Заявитель со ссылкой на решение суда общей юрисдикции по иску Раскостовой Г.И. к ИП Парамоновой М.Ю. и Клименко Л.И. о взыскании упущенной выгоды, указал, что требования ответчиков являлись предметом судебного разбирательства и в их удовлетворении отказано. По мнению Общества, положения пункта 2 статьи 206 Гражданского кодекса Российской Федерации (далее – Гражданский кодекс) применению не подлежат. Заявитель считает несостоятельными выводы судов о том, что зачет истцом в установленном порядке не оспорен; указанные выводы сделаны без учета пункта 3 статьи 199 Гражданского кодекса и пункта 18 постановления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 (далее – Постановление № 6). По мнению заявителя, судами нарушен пункт 1 статьи 168 Гражданского кодекс; суды пришли к необоснованному выводу о том, что отсутствие судебных актов о признании зачета недействительным достаточно для признания зачета состоявшимся. Неверное толкование судами положений статьи 165.1 Гражданского кодекса и разъяснений, изложенных в пункте 19 Постановления № 6, привело к неправильному выводу о прекращении встречных обязательств.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между и ИП Парамоновой М.Ю., Клименко Л.И. (заказчики) и Раскостовой Г.И. (исполнитель) заключен договор управления имуществом от 11.01.2016 № 3, согласно которому 3 исполнитель оказывал услуги по поиску арендаторов, проведению переговоров с потенциальными арендаторами для согласования условий договоров аренды, осуществлял дальнейшую работу с арендаторами (выставление счетов для внесения арендной платы), контроль за расчетами с арендаторами, организацию снабжения помещений необходимыми коммунальными ресурсами, уборку помещений и прилегающей территории. Кроме того, исполнитель осуществлял ремонт, отделку и реконструкцию помещений. Действие договора управления имуществом от 11.01.2016 № 3 прекратилось в июне 2019 года в связи с его расторжением. У заказчиков по договору сформировалась задолженность в сумме 2 227 386 рублей 66 копеек. Между ИП Раскостовой Г.И. (цедент, первоначальный кредитор) и Обществом (цессионарий) заключен договор уступки прав требования от 20.03.2020, по условиям которого объектом уступки является задолженность, сформировавшаяся по договору от 11.01.2016 № 3, в частности: 1 486 334 рубля 89 копеек – долг по выплате вознаграждения исполнителю, 318 856 рублей 35 копеек – долг по ремонту помещений, 158 799 рублей 45 копеек – долг по выполненным ремонтным работам. В связи с тем, что задолженность не погашена,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165.1, 206, 395, 407, 410 Гражданского кодекса, разъяснениями, изложенными в пунктах 10, 14, 18, 19 Постановления № 6 и пункте 21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отказали в удовлетворении требований, придя к выводу, что зачет взаимных однородных требований между сторонами является состоявшимся, в силу чего обязательства прекращены, принимая во внимание выполнение ответчиками всех необходимых действий для осуществления зачета и отсутствие доказательств того, что в установленном законом порядке зачет был оспорен. Каких-либо оснований недопустимости зачета судами не установлено. Ссылка истца на пункт 18 Постановления Пленума №6, согласно которому при истечении срока исковой давности по активному требованию должник по нему, получивший заявление о зачете, не обязан в ответ на него сообщать о пропуске срока исковой давности кредитору (пункт 3 статьи 199 Гражданского кодекса) признан судами несостоятельной, отметив, что данная норма применяется в случае, когда факт пропуска исковой давности обязательства по зачету считается бесспорным. Отклоняя ссылки об истечении срока давности для производства зачета, судебные инстанции указали, что в ответе на претензию наряду с признанием факта неисполнения обязательств Раскостова Г.И. предлагала ответчикам в досудебном порядке разрешить спор посредством переговоров, что свидетельствует о том, что ее аргументы по нежеланию компенсировать возникшую задолженность не бесспорны, а признание неисполненных обязательств и нежелание платить по ним не тождественны.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«А-Илса»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