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17.06.2021, оставленным без изменения постановлением Пятого арбитражного апелляционного суда от 02.08.2021, в удовлетворении заявления отказано. 2 Арбитражный суд Дальневосточного округа постановлением от 26.10.2021 оставил без изменения указанные судебные акты. Общество обратилось в Верховный Суд Российской Федерации с кассационной жалобой, в которой просит отменить принятые судебные акты судов,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Оценив представленные доказательства, руководствуясь положениями КоАП РФ, Таможенного кодекса Евразийского экономического союза, Налогового кодекса Российской Федерации, Технического регламента Таможенного союза «О безопасности игрушек» (ТР ТС 008/2011), утвержденного Решением Комиссии Таможенного союза от 23.09.2011 №798, Постановления Правительства Российской Федерации от 31.12.2004 №908 «Об утверждении перечней кодов видов продовольственных товаров и товаров для детей, облагаемых налогом на добавленную стоимость по налоговой ставке 10 процентов», Инструкции о порядке заполнения декларации на товары, утвержденной решением Комиссии Таможенного союза от 20.05.2010 №257, суды пришли к выводу о наличии в действиях общества состава 3 правонарушения, ответственность за которое предусмотрена частью 2 статьи 16.2 КоАП РФ, признав факт заявления недостоверных сведений о товарах, повлекшем занижение размера подлежащих уплате таможенных пошлин, налогов. Вина общества в совершении вмененного правонарушения доказана, процедура привлечения к административной ответственности не нарушена, срок давности привлечения к ответственности соблюден, оснований для применения статьи 2.9 и 4.1.1 КоАП РФ судами не установлено. Доводы общества были предметом исследования судов и получили исчерпывающую правовую оценку с учетом отсутствия доказательств, подтверждающих факт отнесения спорного товара к детским игрушкам, не согласиться с которой оснований не имеется. Возражения общества направлены на несогласие с установленными судами фактическими обстоятельствами дела и оценкой доказательств, выводы судов не опровергают и не свидетельствуют о существенных нарушениях судами норм материального и (или)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