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30.03.2021, оставленным без изменения постановлением Седьмого арбитражного апелляционного суда от 30.06.2021, в удовлетворении исковых требований отказано. Арбитражный суд Западно-Сибирского округа постановлением от 06.10.2021 судебные акты судов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в материалы дела доказательства, суды,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об отсутствии оснований для взыскания штрафа. При этом суды исходили из того, что приемка работ не является самостоятельным обязательством заказчика по контракту, поскольку связана с обязательством администрации по приемке работ и оплате их стоимости. Нарушения, связанные с приемкой работ, сами по себе к нарушению прав подрядчика не приводят, не охватываются пунктом 6.3 контракта и предусматривают ответственность заказчика в рамках нарушения сроков оплаты выполненных работ, что было учтено судами при рассмотрении дела № А27-14793/2019 о взыскании неустойки с администрации. Доводы жалобы сводятся к несогласию заявителя с установленными судами фактическими обстоятельствами дела и оценкой доказательств,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"Рудничное" (подробнее) Ответчики: Администрация г. Кемерово (подробнее) Иные лица: муниципальное бюджетное учреждение "Кемеровские автодороги" (подробнее) ООО к/у "Рудничное" : Котин Дмитрий Андреевич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