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28.06.2021, оставленным без изменения постановлением Девятого арбитражного апелляционного суда от 17.08.2021 и постановлением Арбитражного суда Московского округа от 05.10.2021, заявление возвращено. В кассационной жалобе Егоршев В.В. просит о пересмотре судебных актов в отношении возвращения заявления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Возвращая заявление, суд руководствовался статьями 32, 34, 60 Федерального закона от 26.10.2002 № 127-ФЗ «О несостоятельности (банкротстве)», статьями 42, 223 Арбитражного процессуального кодекса Российской Федерации и тем, что заявитель не является участником дела о банкротстве. Возвращение заявления произведено судом в соответствии с законом и обстоятельствами подачи и доводы жалобы об обратном им противоречат.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Егоршеву Виктору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