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03.02.2020 исковые требования удовлетворены за счет общества «ВЛГ Логистика», производство по делу в отношении общества «ДВЛК» прекращено в связи с принятием судом отказа от иска к этому ответчику. Определением Арбитражного суда Приморского края от 16.03.2021, оставленным без изменения постановлением Пятого арбитражного апелляционного от 11.06.2021 и постановлением Арбитражного суда Дальневосточного округа от 07.10.2021, заявление общества «ДВЛК» о взыскании с предпринимателя 4 066 рублей 20 копеек судебных расходов удовлетворено. В кассационной жалобе предприниматель просит о пересмотре судебных актов в отношении судебных расходов, ссылаясь на неосновательное 2 восстановление пропущенного заявителем срока на подачу заявления о взыскании судебных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Требуемое предпринимателем изменение оценки причин пропуска срока на подачу заявления о взыскании судебных расходов не создает оснований для кассационного пересмотра судебных актов, поскольку ходатайство о восстановлении срока рассмотрено в соответствии с компетенцией.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Терехову Александру Степановичу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