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29.04.2021, оставленным без изменения постановлением Семнадцатого арбитражного апелляционного суда от 27.07.2021, заявление кредитора удовлетворено: в третью очередь реестра включено требование банка в размере 2 384 912 рублей 52 копеек, из которых 1 904 234 рубля 82 копейки как обеспеченные залогом квартиры. Арбитражный суд Уральского округа постановлением от 30.11.2021 определение от 29.04.2021 и постановление Семнадцатого арбитражного апелляционного суда от 27.07.2021 оставил без изменения. В кассационной жалобе Бойцова Е.А. просит об отмене судебных актов, ссылаясь на то, что не является обязанным лицом в отношении погашения целевого жилищного займа.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должник является заемщиком в обязательстве, в связи с неисполнением которого банк подает рассматриваемое заявление, поэтому требование включено в реестр должника в соответствии со статьями 213.24, 100 Федерального закона от 26.10.2002 № 127-ФЗ «О несостоятельности (банкротстве)». Судебные акты не касаются реализации заложенного имущества и в предложенном окружным судом порядке исполнения не нарушают прав должника.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Бойцовой Е.А.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