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30.08.2019 исковые требования удовлетворены. Постановлением Двадцать первого арбитражного апелляционного суда от 19.05.2021, оставленным без изменения постановлением Арбитражного суда Центрального округа от 01.10.2021, решение отменено: с предпринимателя в пользу общества взыскано 901 100 рублей неосновательного обогащения, 42 665 рублей процентов за пользование чужими денежными средствами, проценты за пользование чужими денежными средствами в силу статьи 395 ГК РФ на сумму долга в размере 901 100 рублей с 16.12.2018 по день фактической оплаты. 2 В кассационной жалобе общество просит об отмене судебных актов апелляционного и окружного судов, ссылаясь на применение для расчета задолженности цены, взимаемой за аналогичную услугу с других лиц, принятие ненадлежащего экспертного заключения и неосновательный отказ в назначении повторной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установив, что заявленная обществом к взысканию сумма рассчитана на основании ненадлежащего тарифа, уменьшил размер требования истца, удовлетворив иск частично в соответствии статьями 395, 1102, 1107 Гражданского кодекса Российской Федерации. При этом подлежащая уплате предпринимателем за предоставленную услугу сумма в отсутствие договорного и иного регулирования определена посредством экспертизы в соответствии с судебной практикой рассмотрения подобных споров. Вопросы оценки экспертного заключения как доказательства и необходимости повторной экспертизы разрешены судами в пределах компетенции.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«Крымтелеком»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