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Тульской области от 28.11.2019, оставленным без изменения, постановлением Двадцатого арбитражного апелляционного суда от 06.03.2020, процедура реализации имущества должника завершена. Принятым при новом рассмотрении ходатайства кредиторов определением Арбитражного суда Тульской области от 25.02.2021, оставленным без изменения постановлением Двадцатого арбитражного апелляционного суда от 22.06.2021 и постановлением Арбитражного суда Центрального округа от 18.10.2021, должник не освобожден от исполнения обязательств перед Соловьевым Д.А., Воротынцевым Д.А., АО «АКБ «Пробизнесбанк» в лице конкурсного управляющего – государственной корпорации «Агентство по страхованию вкладов». В кассационной жалобе Шевченко Э.Т. просит о пересмотре судебных актов, ссылаясь на несоответствие выводов 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перед кредитором. Иная оценка заявителем своих действий противоречит установленным обстоятельствам 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Шевченко Эдуарду Трофимовичу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