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25.03.2021, оставленным без изменения постановлением Девятого арбитражного апелляционного суда от 30.08.2021 и постановлением Арбитражного суда Московского округа от 19.11.2021, процедура реализации имущества должника завершена, должник освобожден от дальнейшего исполнения требований кредиторов. В кассационной жалобе общество просит об отмене судебных актов, ссылаясь на ненадлежащую оценку поведения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исследовали и оценили поведение должника в процедурах банкротства и установили условия для применения правил пункта 3 статьи 213.28 Федерального закона от 26.10.2002 № 127-ФЗ «О несостоятельности (банкротстве)» для освобождения от исполнения обязательств. Иная оценка кредитором действий должника противоречит установленным обстоятельствам 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«Парадокс Пропертиз»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