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07.04.2021, оставленным без изменения постановлением Девятого арбитражного апелляционного суда от 18.06.2021 и постановлением Арбитражного суда Московского округа от 04.10.2021, в удовлетворении иска отказано. В кассационной жалобе общество «Бас Капитал» просит об отмене судебных актов, ссылаясь на формальное исследование обстоятельств спора, игнорирование уплаты просроченных платежей к моменту изъятия предмета лизинга и незаконное условия договора о внесудебном изъятии.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уведомление ответчика о расторжении договора лизинга и возврате предмета лизинга, действия по изъятию предмета лизинга основаны на договоре от 28.02.2020 № 27230ДМО1-БАС/01/2020, условия которого соответствуют закону, поэтому отказали в иске в силу статей 168, 421, 622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«Бас 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