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21.04.2021, оставленным без изменения постановлением Девятого арбитражного апелляционного суда от 13.07.2021, иск удовлетворен. Арбитражный суд Московского округа постановлением от 07.10.2021 решение от 21.04.2021 и постановление Девятого арбитражного апелляционного суда от 13.07.2021 оставил без изменения. В кассационной жалобе организация просит об отмене судебных актов, ссылаясь на отсутствие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правоотношений по хранению транспортных средств и их утрата в период нахождения на хранении подтверждены исследованными доказательствами, поэтому иск удовлетворен в соответствии со статьями 15, 393, 401, 886, 901, 902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Астраханскому региональному отделению общественной организации «Всероссийское общество автомобилистов»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