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07.06.2021 утвержден план реструктуризации долгов должника – Балакиревой Арины Вадимовны в рамках процедуры реструктуризации долгов гражданина. Определением Девятого арбитражного апелляционного суда от 05.10.2021 прекращено производство по апелляционной жалобе банка на определение суда первой инстанции применительно к положениям статьи 150 Арбитражного процессуального кодекса Российской Федерации. Арбитражный суд Московского округа постановлением от 17.11.2021 определение суда апелляционной инстанции оставил без изменения. Акционерное общество «Инвестторгбанк» обратилось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обжалуемый судебный акт не содержит выводов о правах банка и не возлагает на него дополнительных обязанностей, суд апелляционной инстанции пришел к выводу о том, что у банка отсутствует право на обжалование определения об утверждении плана реструктуризации долгов должника, в том числе в порядке, установленном статьей 42 Арбитражного процессуального кодекса Российской Федерации. Поскольку указанное обстоятельство установлено после принятия апелляционной жалобы к производству, применительно к пункту 1 части 1 статьи 150 Арбитражного процессуального кодекса Российской Федерации производство по апелляционной жалобе прекращено.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согласился с выводом суда апелляционной инстанции о наличии оснований для прекращения производства по апелляционной жалобе банка.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«Инвестторгбанк»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