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Шаповалов Виталий Анатольевич обратился в Арбитражный суд Московской области с иском о взыскании с общества с ограниченной ответственностью «ЭкоТранс» 6 293 827 рублей 15 копеек задолженности по договору на оказание услуг от 01.07.2019 № 732 и 366 548 рублей 63 копеек процентов за пользование чужими денежными средствами. Судом принят встречный иск ООО «ЭкоТранс» о взыскании с ИП Шаповалова В.А. 2 290 000 рублей неосновательного обогащения. Решением Арбитражного суда Московской области от 18.03.2021 первоначальный иск удовлетворен, в удовлетворении встречного иска отказано. Постановлением Десятого арбитражного апелляционного суда от 09.08.2021 решение суда первой инстанции оставлено без изменения. Арбитражный суд Московского округа постановлением от 18.11.2021 указанные судебные акты оставил без изменения. Общество с ограниченной ответственностью «ЭкоТранс»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оказания предпринимателем услуг, отсутствие возражений общества относительно их объема и качества, учитывая недоказанность оказания услуг обществу иными лицами, руководствуясь положениями статей 309, 310, 395, 720, 753, 779, 781, 783 Гражданского кодекса Российской Федерации, суды пришли к выводу о наличии оснований для удовлетворения первоначального иска. Отказывая в удовлетворении встречного иска, суды, руководствуясь статьями 1102, 1105 Гражданского кодекса Российской Федерации, исходили из того, что спорный договор на оказание возмездных услуг является действующим, доказательств его расторжения либо признания недействительным не представлено. Доводы, изложенные в кассационной жалобе, о несогласии с оказанием услуг непосредственно предпринимателем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«ЭкоТранс»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