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22.03.2021 иск удовлетворен. Девятый арбитражный апелляционный суд постановлением от 11.06.2021 отменил решение от 22.03.2021 и в удовлетворении иска отказал. Арбитражный суд Московского округа постановлением от 04.10.2021 постановление Девятого арбитражного апелляционного суда от 11.06.2021 оставил без изменения. В кассационной жалобе компания просит об отмене судебных актов апелляционного и окружного судов, ссылаясь на игнорирование аналогичной имеющейся у собственника защиты права пользования вагонами.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опровергали права истца на возмещение убытков, поэтому довод об игнорировании такого права не имеет отношения к существу спора. Апелляционный суд установил, что убытки вследствие повреждения вагонов возмещены страховщиком в полном объеме лизингодателю, с которым компания имеет договорные отношения. Следовательно, споры, возникающие в связи с исполнением договора, должны разрешаться между его сторонами.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«Холдинговая компания «Новотранс»в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