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компания обратилась в суд с заявлением о включении в реестр требований кредиторов должника (далее – реестр) задолженности в размере 11 558 141 рубль 99 копеек. Определением Арбитражного суда Московской области от 31.05.2021 заявление удовлетворено. Постановлением Десятого арбитражного апелляционного суда от 27.07.2021, оставленным без изменения постановлением Арбитражного суда Московского округа от 14.10.2021,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170,711, 740, 753 Гражданского кодекса Российской Федерации, статьями 71, 100, 142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недоказанности факта выполнения (самой возможности такого выполнения) компанией подрядных работ для должника, безусловно подтверждающего возникновение у последнего обязанности по их оплате, в связи с чем отказали в удовлетворении заявления. Выводы судов апелляционной инстанции и округа соответствуют нормам права, оснований для переоценки этих выводов не имеется.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«Инженерная Компания «ОБИС»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