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Жидкова Анна Валерьевна (далее – Жидкова А.В.) обратилась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Черкашову Александру Станиславовичу (далее – Черкашов А.С.) о признании договора сотрудничества от 27.05.2020 № ЯРФ-М20 расторгнутым, взыскании 495 000 рублей неосновательного обогащения, 15 783 рублей 99 копеек процентов за пользование чужими денежными средствами. Решением Арбитражного суда Ростовской области от 16.04.2021, оставленным без изменения постановлением Пятнадцатого арбитражного апелляционного суда от 15.06.2021 и постановлением Арбитражного суда Северо- Кавказского округа от 07.10.2021,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не получил встречное исполнение по сделке, гарантированные услуги по договору ответчиком не оказаны.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27.05.2020 Жидкова А.В. и Черкашов А.С. заключили договор о сотрудничестве № ЯРФ-М20, по условиям которого ответчик обязуется предоставить право на использование федерального бренда «Списать-долги.рф», предоставить доступ к информации, составляющей коммерческую тайну (технология «Law Business Group»), принять у Жидковой А.В. аттестацию, а истец обязуется открыть офис с использованием федерального бренда «Списать-долги.рф», принять и соблюдать технологию «Law Business Group», пройти обучение и аттестацию, подготовить офис к прохождению проверки, оплатить паушальный взнос. В силу пунктов 4.3.1, 4.3.2, 4.3.3, 4.3.5 договора Жидкова А.В. обязана оплатить паушальный взнос в размере 495 000 рублей; пройти обучение на портале и сдать аттестацию по окончанию обучения; согласовать расположение офиса и открыть его; самостоятельно, кроме привлеченных ответчиком клиентов, осуществлять поиск потенциальных клиентов для функционирования офиса, в том числе разместить рекламу. Пункт 6.1 договора предусматривает право сторон расторгнуть договор с предварительным уведомлением второй стороны. Жидковой А.В. перечислен паушальный взнос, а также пополнен рекламный бюджет на сумму 17 400 рублей, что предполагает 116 заявок клиентов. Истец 16.08.2020 направил ответчику уведомление о расторжении договора в одностороннем порядке и требованием возвратить уплаченный паушальный взнос. Оставление ответчиком претензии без удовлетворения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450.1, 779, 781, 782, 1102, 1109 Гражданского кодекса Российской Федерации, суды отказали в удовлетворении требований, придя к выводу, что со стороны ответчика обязательства по договору исполнены, в связи с чем паушальный взнос не подлежит возврату истцу, а договор является исполненным. 3 Судебными инстанциями учтено, что Черкашовым А.С. предоставлены бизнес-модели (технология «Law Business Group»), даны рекомендации по открытию нового офиса, его оформлению, наружной рекламе, требованиям к мебели, требованиям к технике, требованиям к фотографиям и видео путем предоставления доступа в закрытом портале. После получения от истца претензии ответчиком незамедлительно направлен акт от 18.08.2020, квалифицированный судами как отчет о результатах проверки офиса. Согласно распечатке из личного кабинета истец (jv0-2011@yandex.ru) зарегистрирован на закрытом портале ответчика, что подтверждает предоставление доступа к информации, составляющей коммерческую тайну Черкашова А.С. В рамках исполнения договора истцу предоставлен доступ к CRM-системе, ее настройка и генерация логина и пароля для осуществления входа в CRM-систему. Кроме того, в соответствии с пунктом 5.2 договора паушальный взнос уплачивается за право использования комплекса сведений, составляющих коммерческую тайну (доступ к которой предоставлен с помощью логина и пароля). Все остальные услуги оказываются безвозмездно, на основании чего доводы о неисполнении договора со стороны ответчика судами признаны необоснованными и отклонены. Сторонами подписаны акт выполненных работ, а также акт приема-передачи сведений, составляющих коммерческую тайну, что указывает на исполнение ответчиком обязательств по договору и принятие такого исполнения истцом.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Жидковой Анны Валерьевны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