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Красноярского края от 16.12.2020, оставленным без изменения постановлением Третьего арбитражного апелляционного суда от 06.05.2021 и постановлением Арбитражного суда 2 Восточно-Сибирского округа от 07.10.2021, с компании в пользу общества взыскано 17 556 045 руб. 89 коп. основного долга, 718 531 руб. 01 коп. процентов за пользование чужими денежными средствами за период по 09.12.2020, проценты за пользование чужими денежными средствами, подлежащие начислению на сумму основного долга, начиная с 10.12.2020, рассчитанные по ключевой ставке Банка России, действующей в соответствующие периоды просрочки, по день фактической уплаты долга, в удовлетворении остальной части первоначальных исковых требований отказано. С общества в пользу компании взыскано 2 531 347 руб. 75 коп. штрафа, в удовлетворении остальной части встречных исковых требований отказано. Произведен зачет удовлетворенных требований.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соответствующий арбитражный суд либо принять по делу новый судебный акт.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Предъявленные взаимные требования общества (поставщик) и компании (покупатель) основаны на договоре поставки от 16.12.2019 № 1751-16/2019. Исследовав и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15, 309, 310, 329, 330, 333, 393, 506, 516 Гражданского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первой и апелляционной инстанций пришли к выводу о наличии оснований для частичного удовлетворения первоначальных и встречных требований, с чем впоследствии согласился суд округа. При этом, установив, что компания не исполнила обязательства по оплате поставленного обществом товара, суды признали обоснованными требования общества о взыскании задолженности и процентов. Исходя из недоказанности обществом совокупности условий, необходимых для взыскания с компании убытков, суды не усмотрели оснований для удовлетворения соответствующего требования. Признав подтвержденным факт поставки обществом товара 3 не в полном объеме и с просрочкой, суды сочли правомерным начисление компанией неустойки и, проверив и признав верным расчет неустойки, установив несоразмерность неустойки последствиям нарушения обязательства, суды применили по заявлению общества положения статьи 333 Гражданского кодекса Российской Федерации и снизили ее размер. Доводы кассационной жалобы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установленных фактических обстоятельств, что не входит в полномочия суда при кассационном производстве.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«Олимп-Трейд»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