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31.01.2022 обратился в Верховный Суд Российской Федерации с жалобой на определение судьи Верховного Суда Российской Федерации от 14.10.2021 № 309-ЭС21-18020, решение Арбитражного суда Свердловской области от 23.12.2020, постановление Семнадцатого арбитражного апелляционного суда от 07.04.2021 и постановление Арбитражного суда Уральского округа от 04.08.2021 по делу № А60-895/2020,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«АрДиСи»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