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23.07.2021, оставленным без изменения постановлением Девятого арбитражного апелляционного суда от 06.09.2021 и постановлением Арбитражного суда Московского округа от 19.11.2021,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 либо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(подрядчик) работ по договору, направления подрядчиком обществу (заказчик) акта КС-2 и отсутствие мотивированного отказа последнего от его подписания, руководствуясь статьями 309, 310, 330, 702, 708, 711, 746, 753 Гражданского кодекса Российской Федерации, суды первой и апелляционной инстанции пришли к выводу о наличии оснований для удовлетворения исковых требований,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«СИСТЕМЫ И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