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14.05.2021, оставленным без изменения постановлением Десятого арбитражного апелляционного суда от 20.07.2021 и постановлением Арбитражного суда Московского округа от 19.11.2021, в удовлетворении иска отказано. В кассационной жалобе, поданной в Верховный Суд Российской Федерации, предприятие,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предприятие (подрядчик) допустило в работах существенные и неустранимые отступления от условий договора, делающие объект непригодным для эксплуатации по функциональному назначению, руководствуясь статьями 309, 310, 450, 702, 715, 716, 719 Гражданского кодекса Российской Федерации, суды первой и апелляционной инстанций пришли к выводу о правомерности одностороннего отказа общества (заказчик) от исполнения договора, в связи с чем отказали в удовлетворении иска. Суд округа поддержал выводы судов первой и апелляционной инстанций. Доводы кассационной жалобы не опровергают выводы судов, по существу направлены на иную оценку доказательств и фактических обстоятельств дела, не подтверждают существенных нарушений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«Научно-производственное предприятие «Специальные Вычислительные Комплексы»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