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31.05.2021, оставленным без изменения постановлением Пятнадцатого арбитражного апелляционного суда от 20.07.2021 и постановлением Арбитражного суда Северо-Кавказского округа от 03.10.2021, в удовлетворении заявления отказано. В кассационной жалобе Жаркой Д.В. просит об отмене судебных актов, ссылаясь на игнорирование единства судьбы земельного участка и находящегося на нем объекта недвижимости при заключении спорного договора и установления общей долевой собственности супругов на отчужденные объекты недвижимости.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 итогам торгов на основании оспариваемого договора купли-продажи от 24.10.2018 № 1 реализован принадлежащий должнику объект недвижимости (земельный участок). Поскольку расположенное на отчужденном земельном участке принадлежащее Жаркому Д.В. нежилое здание реализовано в деле о его банкротстве по договору от 01.10.2019 тому же покупателю, суды обоснованно не усмотрели нарушений единства судьбы земельного участка и связанного с ним объекта, отказав в силу статей 12, 166, 168, 301, 447, 449, 552 Гражданского кодекса Российской Федерации в признании оспариваемого договора недействительным. Установление после заключения сделок режима общей долевой собственности супругов на отчужденные объекты недвижимости не влияет на действительность сделок.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Жаркому 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