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12.05.2021 в удовлетворении заявления банка отказано. Постановлением Седьмого арбитражного апелляционного суда от 20.09.2021, оставленным без изменения постановлением Арбитражного суда Западно-Сибирского округа от 01.12.2021, определение от 12.05.2021 отменено: требование банка в размере 1 772 896 рублей 12 копеек включено в третью очередь реестра, требование в размере 345 190 рублей 27 копеек неустойки признано подлежащим отдельному учету. В кассационной жалобе общество просит об отмене судебных актов апелляционного и окружного судов, полагая, что удовлетворение заявления банка приведет к двойному включению суммы взыскания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обоснованными заявленные требования как подтвержденные судебным актом и соответствующие критериям статей 71, 213.8 Федерального закона от 26.10.2002 № 127-ФЗ «О несостоятельности (банкротстве)», постановлению Пленума Верховного Суда РФ от 24.12.2020 № 45 «О некоторых вопросах разрешения споров о поручительстве». Учитывая разные основания требований общества и банка, их одновременное пребывание в реестре не находится в противоречии.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