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04.03.2021 исковые требования удовлетворены частично. Постановлением Восемнадцатого арбитражного апелляционного суда от 31.05.2021, оставленным без изменения постановлением Арбитражного суда Уральского округа от 05.10.2021, решение от 04.03.2021 отменено, в удовлетворении исковых требований отказано. В кассационной жалобе общество «Спецтехника» просит о пересмотре судебных актов апелляционного и окружного судов, ссылаясь на неустановление обоснованности встречного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исследовал основание для взыскания штрафа и его расчет, признав их неоспоренными истцом, в связи с чем довод последнего о неустановлении обоснованности встречного требования и невозможности его зачета к первоначальному неоснователен.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«Спецтехника»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