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её требований в реестр требований кредиторов должника (далее – реестр). Определением Арбитражного суда города Москвы от 09.04.2021 требования компании в размере 1 409 446 рублей – неустойка, 27 094 рубля – расходы по уплате государственной пошлины признаны обоснованными и подлежащими включению в третью очередь реестра. Постановлением Девятого арбитражного апелляционного суда от 21.07.2021, оставленным без изменения постановлением Арбитражного суда Московского округа от 05.10.2021, изменено определение суда первой инстанции от 09.04.2021, требование компании признано обоснованным и подлежащим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71 и 100 Федерального закона от 26.10.2002 № 127-ФЗ «О несостоятельности (банкротстве)», позицией, изложенной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от 29.01.2020, исходил из наличия основания для субординации требований компании. Суд округа поддержал выводы суда апелляционной инстанции.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«EDS EASTERN DRINKS COMPANY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