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«Новосибирская продовольственная корпорация» обратилось в суд с заявлением о пересмотре по вновь открывшимся обстоятельствам определения суда от 10.01.2020 в части включения в реестр требований кредиторов должника требований общества с ограниченной ответственностью «Научно-производственный центр «Эталон» (далее – общество «НПЦ «Эталон») в размере 7 486 071 рубля 88 копеек и определения суда от 12.03.2020 о включении в реестр требований кредиторов должника требований общества «НПЦ «Эталон» в размере 6 789 127 рублей. Определением Арбитражного суда Новосибирской области от 02.04.2021, оставленным без изменения постановлениями Седьмого арбитражного апелляционного суда от 16.06.2021 и Арбитражного суда Западно-Сибирского округа от 06.10.2021, отказано в удовлетворении заявления о пересмотре судебных актов.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отмене определений от 10.01.2020 и от 12.03.2020.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пересмотре, суд первой инстанции, руководствуясь положениями статей 309 и 311 Арбитражного процессуального кодекса Российской Федерации, исходил из того, что приведённые обстоятельства не могут служить основанием для пересмотра судебных актов по вновь открывшимся обстоятельствам.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Яковлеву Юрию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