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Гучинский В.А. и Гучинская О.Ф. обратились в суд с жалобой на действия (бездействие) конкурсного управляющего должником Слончак Валерии Игоревны, выразившиеся в непринятии мер по исполнению пункта 41 протокола № 1 собрания участников строительства должника. Определением Арбитражного суда города Санкт – Петербурга и Ленинградской области от 12.04.2021, оставленным без изменения постановлениями Тринадцатого арбитражного апелляционного суда от 23.09.2021 и Арбитражного суда Северо-Западного округа от 08.12.2021, жалоба оставлена без удовлетворения. В кассационной жалобе, поданной в Верховный Суд Российской Федерации, заявители просят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129, 201.11 Федерального закона от 26.10.2002 № 127-ФЗ «О несостоятельности (банкротстве)», исходили из недоказанности факта вменяемого бездействия конкурсного управляющего должником, нарушения ею требований законодательства о банкротстве, прав и охраняемых законом интересов должника, заявителей и иных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Гучинскому Владимиру Анатольевичу и Гучинской Ольге Фёдоровне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