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Хакасия от 24.06.2021, оставленным без изменения постановлением Третьего арбитражного апелляционного суда от 06.09.2021 и постановлением Арбитражного суда Восточно-Сибирского округа от 23.11.2021, производство по заявлению прекращено на основании пункта 2 части 1 статьи 150 Арбитражного процессуального кодекса Российской Федерации. В кассационной жалобе Ван Чжэньсинь просит об отмене судебных актов, ссылаясь на отсутствие тождества основания ранее рассмотренного и данного ходатайств.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оба ходатайства об исключении квартиры из конкурсной массы основаны на одном и том же обстоятельстве – приобретении заявителем спорной квартиры, принадлежавшей должнику. Следовательно, условия для применения пункта 2 части 1 статьи 150 Арбитражного процессуального кодекса Российской Федерации имелись.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Ван Чжэньсиню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