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февраля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Санкт-Петербурга и Ленинградской области от 18.03.2021, оставленным без изменения постановлением Тринадцатого арбитражного апелляционного суда от 01.08.2021 и постановлением Арбитражного суда Северо-Западного округа от 20.10.2021, с компании в пользу общества в порядке регресса взыскано 1 149 424 руб. 50 коп., в удовлетворении остальной части иска отказано. В кассационной жалобе, поданной в Верховный Суд Российской Федерации, общество, ссылаясь на нарушение судами норм материального права, просит изменить указанные судебные акты и удовлетворить заявленные им требования в полном объеме.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2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состоявшихся по делу судебных актов и доводов кассационной жалобы не установлено. Как следует из судебных актов, требования общества мотивированы тем, что оно выплатило компенсацию морального вреда семье сотрудника, погибшего в результате дорожно-транспортного происшествия, виновником которого являлся водитель компании. Разрешая спор и удовлетворяя иск частично, суды первой и апелляционной инстанций, руководствуясь статьями 1064, 1068, 1079, 1081, 1100 Гражданского кодекса Российской Федерации, исследовав и оценив по правилам статьи 71 Арбитражного процессуального кодекса Российской Федерации представленные в материалы дела доказательства, исходили из того, что общество компенсировало семье погибшего моральный вред, однако достоверно определить степень вины лиц, участвовавших в столкновении, не представляется возможным, в связи с чем моральный вред подлежит распределению в равных долях между обществом и компанией. Суд округа поддержал выводы судов первой и апелляционной инстанций. Доводы кассационной жалобы не подтверждают существенных нарушений судами норм материального и процессуального права, повлиявших на исход дела, и в силу статьи 291.6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«Стройтрансгаз Трубопровод»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