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Магаданской области от 21.04.2021, оставленным без изменения постановлением Шестого арбитражного апелляционного суда от 12.07.2021 и постановлением Арбитражного суда Дальневосточного округа от 01.10.2021, заявление удовлетворено. В кассационной жалобе Артемова Л.И. просит об отмене судебных актов, ссылаясь на гражданско-правовой, а не семейно-правовой характер обязательства супруга-должника.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гражданско-правового обязательства (аренды), за нарушение которого применена к должнику ответственность, имеет место, как установлено судами, в связи с осуществлением правомочий в отношении совместного имущества должника и его супруги и в деле о банкротстве последней ей вменена ответственность за такое же нарушение в связи с совместным имуществом. В такой ситуации судебные акты нельзя считать противоречащими статьям 34, 35, 45 Семейного кодекса Российской Федерации, статьями 213.8, 213.19, 213.24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Артемовой Ларисе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