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15.04.2021 в третью очередь реестра включено требование общества с ограниченной ответственностью «Юридическая фирма ЛУЧ» в размере 4 335 000 рублей основной задолженности и 1 540 700 рублей неустойки. Девятый арбитражный апелляционный суд постановлением от 06.07.2021 и Арбитражный суд Московского округа постановлением от 27.09.2021 определение от 15.04.2021 оставили без изменения. В кассационной жалобе Юдин А.В. просит об отмене судебных актов, ссылаясь на игнорирование завышения стоимости услуг и обстоятельств их оказания, неосновательное неуменьшение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рассмотрев заявление применительно к критериям статей 71, 100 Федерального закона от 26.10.2002 № 127-ФЗ «О несостоятельности (банкротстве)» и их толкованию и применению, признали требование в заявленном размере обоснованным. Довод об уменьшении неустойки рассмотрен судами согласно компетенции, применение которой не пересматривается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Юдину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