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20.04.2021, оставленным без изменения постановлением Десятого арбитражного апелляционного суда от 09.06.2021 и постановлением Арбитражного суда Московского округа от 05.10.2021, исковые требования удовлетворены. В кассационной жалобе, поданной в Верховный Суд Российской Федерации, товарищество, ссылаясь на нарушение судами норм права, просит отменить указанные судебные акты и принять новый судебный акт об отказе в удовлетворении иска.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услуг в спорный период и отсутствие доказательств их оплаты товариществом, руководствуясь статьями 309, 310, 330, 779, 781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«Элемаш-Восток»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