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12.02.2021 по первоначальному иску взыскано 443 450 рублей 56 копеек неосновательного обогащения, по встречному – 817 626 рублей 72 копейки задолженности; в результате произведенного зачета встречных однородных требований с банка в пользу общества взыскано 374 176 рублей 16 копеек основного долга. Девятый арбитражный апелляционный суд постановлением от 11.05.2021 отменил решение от 12.02.2021 в части произведенного зачета. Арбитражный суд Московского округа постановлением от 01.10.2021 постановление Девятого арбитражного апелляционного суда от 11.05.2021 оставил без изменения. В кассационной жалобе общество «НетКом-Р» просит о пересмотре судебных актов апелляционного и окружного, ссылаясь на противоречие их судебной практике.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рассмотрения доводов и возражений сторон и представленных доказательств размер взаимных обязательств сторон установлен. Невозможность зачета взысканных сумм обусловлена применяемыми в отношении банка процедурами, основанными на специальном законодательстве.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«НетКом-Р»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