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32 335 720 рублей 78 копеек. Определением Арбитражного суда Курской области от 16.04.2021, оставленным без изменения постановлениями Девятнадцатого арбитражного апелляционного суда от 02.07.2021 и Арбитражного суда Центрального округа от 11.10.2021,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Курской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фактов существования между сторонами обязательственных правоотношений по поставке стройматериалов и неоплаченной должником задолженности,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«Корпорация Гермес»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