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заявлениями, объединёнными в одно производство для совместного рассмотрения, о признании недействительными сделками соглашения об отступном от 21.03.2017, заключенного между банком и обществом «Крафтер»; трёх соглашений банка от 03.04.2017: о расторжении договора поручительства от 20.06.2016 № 1071486/ДП-1 с обществом «Крафтер-Москва», о расторжении договора поручительства от 20.06.2016 № 1071486/ДП-2 с обществом «Крафтер – Логистик» и о расторжении договора поручительства от 20.06.2016 № 1071486/ДП-3 с Зайцем А.Д.; применении последствий недействительности сделок. Определением Арбитражного суда города Москвы от 22.12.2020, оставленным без изменения постановлениями Девятого арбитражного апелляционного суда от 28.06.2021 и Арбитражного суда Московского округа от 15.11.2021, заявленные требования удовлетворены.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пунктами 1 и 2 статьи 61.2 Федерального закона от 26.10.2002 № 127-ФЗ «О несостоятельности (банкротстве)», установив, что в обмен на списание неплатёжеспособным банком непогашенной части долга по ранее выданному кредиту последний получил право требования неликвидной дебиторской задолженности и лишился возможности получить причитающиеся ему денежные средства с поручителей в силу расторжения обеспечительных сделок, пришли к выводам о доказанности совокупности условий для признания недействительными оспариваемых сделок по основаниям неравноценного встречного предоставления и причинения имущественного вреда кредиторам, верно применив последствия их недействительности. Выводы судов соответствуют нормам права, оснований для переоценки этих выводов не имеется. Приводимые в кассационной жалобе доводы были предметом рассмотрения судов и обоснованно отклонены.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«Крафтер – Логистик», Зайцу Александру Дмитриевичу и обществу с ограниченной ответственностью «Крафтер»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