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«Геостройизыскания» обратилось в суд с заявлением о включении своего требования в реестр требований кредиторов должника (далее – реестр). Определением Арбитражного суда города Москвы от 06.10.2020 требование в размере 13 477 121 рубля признано обоснованным и включено в третью очередь реестра. Постановлением Девятого арбитражного апелляционного суда от 10.12.2020 данное определение отменено, во включении требования в реестр отказано. Постановлением Арбитражного суда Московского округа от 04.03.2021 названные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20.04.2021, оставленным без изменения постановлениями Девятого арбитражного апелляционного суда от 15.07.2021 и Арбитражного суда Московского округа от 12.10.2021, требование в размере 12 040 621 рубль признано обоснованным и подлежащим удовлетворению за счёт имущества, оставшегося после удовлетворения требований реестровых кредиторов; производство в части требований в размере 1 436 500 рублей прекращено. В кассационных жалобах, поданных в Верховный Суд Российской Федерации, заявители просят отменить названные судебные акты в части 2 понижения требования в размере 12 040 621 рубль в очерёдности удовлетворения, принять по делу новый судебный акт о включении его в третью очередь реестра.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 и понижая очерёдность удовлетворения требования, суды, руководствуясь статьями 71, 100, 142 Федерального закона от 26.10.2002 № 127-ФЗ «О несостоятельности (банкротстве)», исходили из пропуска установленного законом срока для его предъявления и отсутствия уважительных причин для его восстановления заявителю. Судебный акт о возвращении первоначально поданного до закрытия реестра требования в связи с не устранением в установленный судом срок обстоятельств, послуживших основаниям для оставления его без движения, заявителем обжалован не был и вступил в законную силу. Выводы судов в обжалуемой части соответствуют нормам права, оснований для переоценки этих выводов не имеется.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Дурневу Владимиру Дмитриевичу и обществу с ограниченной ответственностью «Геостройизыскания»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