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жилищно-строительного кооператива «Ветеран плюс» (далее – должник) временный управляющий должником обратился в Арбитражный суд Самарской области с ходатайством об истребовании у руководителя должника ФИО1 документации должника согласно перечню. Определением суда первой инстанции от 04.07.2017, оставленным без изменения постановлением суда апелляционной инстанции от 28.08.2017, ходатайство удовлетворено. В кассационной жалобе, поданной в Верховный Суд Российской Федерации,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и соглашаясь с данным выводом, суды руководствовались статьей 64 Федерального закона от 26.10.2002 № 127-ФЗ «О несостоятельности (банкротстве)» и указали на отсутствие доказательств, свидетельствующих о надлежащем исполнении ФИО1 обязанности по передаче временному управляющему должником истребуемой документации. Довод ФИО1 об исполнении впоследствии названной обязанности не может быть принят во внимание, поскольку данное обстоятельство не влияет на законность судебных актов судов первой и апелляционной инстанций и подлежит учету на стадии исполнения. Иные доводы жалобы не свидетельствуют о неправильном применении судами норм права, сводятся к переоценке доказательств и установлению иных обстоятельств по делу,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Администрация Г О Тольятти (подробнее) Алексанина Е.А. (представитель заявителя) (подробнее) АО "Самарская сетевая компания" (подробнее) АО "ССК" (подробнее) а/у Лазарев М. А. (подробнее) Жилищно-строительный кооператив "Ветеран плюс" (подробнее) К/У Сухова А.Ю. (подробнее) Межрайонная инспекция Федеральной налоговой службы №19 по Самарской области (подробнее) ОАО "Волго-Камский БАНК" (подробнее) ООО Аттикастройсервис " (подробнее) ООО Директор "Аттикастройсервис" Зубков В.М. (подробнее) ООО "ССК" (подробнее) ОСП Автозаводского района №2 УФССП по Самарской области (подробнее) САМРО "Ассоциация антикрзисных управляющих" (подробнее) Управление Федеральной службы государственной регистрации, кадастра и картографии по Самарской области (подробнее) Управление Федеральной службы судебных приставов по Самарской области (подробнее) Последние документы по делу: Определение от 14 сентября 2021 г. по делу № А55-12162/2015 Определение от 2 июля 2020 г. по делу № А55-12162/2015 Определение от 9 января 2018 г. по делу № А55-12162/2015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