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Судья Светлана Николаевна обратилась в суд с заявлением о признании недействительными платежей на общую сумму 3 720 000 рублей, совершённых должником в пользу предпринимателя; применении последствий их недействительности. Определением Арбитражного суда Санкт-Петербурга и Ленинградской области от 25.03.2021, оставленным без изменения постановлениями Тринадцатого арбитражного апелляционного суда от 22.07.2021 и Арбитражного суда Северо-Западного округа от 26.10.2021, заявление удовлетворено. В кассационной жалобе, поданной в Верховный Суд Российской Федерации, заявитель просит отменить полностью названные судебные акты и направить дело на новое рассмотрение в Арбитражный суд города Санкт-Петербурга и Ленинградской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168, 170 Гражданского кодекса Российской Федерации, пунктами 1 и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пришли к верному выводу о недействительности оспариваемых сделок по основаниям мнимости, неравноценного встречного предоставления и причинения имущественного вреда кредиторам неплатёжеспособного должника путём вывода его денежных средств в отсутствие на то какого-либо экономического обоснования.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Морину Дмитрию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